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B6" w:rsidRPr="00185BB6" w:rsidRDefault="00185BB6" w:rsidP="00185BB6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 xml:space="preserve">ГИА. </w:t>
      </w:r>
      <w:r w:rsidRPr="00185BB6"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>Педагогам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>
        <w:rPr>
          <w:rFonts w:ascii="Century Gothic" w:eastAsia="Times New Roman" w:hAnsi="Century Gothic" w:cs="Times New Roman"/>
          <w:noProof/>
          <w:color w:val="4D4D4D"/>
          <w:sz w:val="23"/>
          <w:szCs w:val="23"/>
          <w:lang w:eastAsia="ru-RU"/>
        </w:rPr>
        <w:drawing>
          <wp:inline distT="0" distB="0" distL="0" distR="0">
            <wp:extent cx="2914650" cy="1943100"/>
            <wp:effectExtent l="19050" t="0" r="0" b="0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Предлагаем вам для ознакомления Методические рекомендации по подготовке и проведению единого государственного экзамена в пунктах проведения экзаменов в 2016 году от 25.12.15 г. № 01-311/10-01 </w:t>
      </w:r>
      <w:hyperlink r:id="rId6" w:history="1">
        <w:r w:rsidRPr="00185BB6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_РОН_МР_ГИА_2016</w:t>
        </w:r>
      </w:hyperlink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185BB6" w:rsidRPr="00185BB6" w:rsidRDefault="00185BB6" w:rsidP="00185BB6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hyperlink r:id="rId7" w:history="1">
        <w:r w:rsidRPr="00185BB6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 xml:space="preserve">На сайте ФИПИ опубликованы тренировочные сборники для подготовки к ГИА </w:t>
        </w:r>
        <w:proofErr w:type="gramStart"/>
        <w:r w:rsidRPr="00185BB6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>обучающихся</w:t>
        </w:r>
        <w:proofErr w:type="gramEnd"/>
        <w:r w:rsidRPr="00185BB6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 xml:space="preserve"> с ОВЗ, разработанные специалистами ФИПИ</w:t>
        </w:r>
      </w:hyperlink>
      <w:r w:rsidRPr="00185BB6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proofErr w:type="gramStart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Тренировочные сборники разработаны по 14 учебным предметам: русский язык, математика, физика, химия, информатика и ИКТ, биология, история, география, обществознание, литература, английский язык, французский язык, немецкий язык, испанский язык.</w:t>
      </w:r>
      <w:proofErr w:type="gramEnd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</w:t>
      </w:r>
      <w:proofErr w:type="gramStart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Сборники включают в себя набор заданий, аналогичных используемым в экзаменационных материалах государственного выпускного экзамена по программам основного общего и среднего общего образования (ГВЭ-9 и ГВЭ-11 в устной и письменной формах), критерии оценивания отдельных заданий и экзаменационной работы в целом, шкалы перевода суммы первичных баллов за работу в пятибалльную систему оценивания.</w:t>
      </w:r>
      <w:proofErr w:type="gramEnd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Кроме того, разработаны тренировочные сборники для подготовки к ГИА-9 и ГИА-11 слепых обучающихся по 14 учебным предметам.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Тренировочные сборники могут быть использованы для подготовки к государственной итоговой аттестации 9 и 11 классов.</w:t>
      </w:r>
    </w:p>
    <w:p w:rsidR="00185BB6" w:rsidRPr="00185BB6" w:rsidRDefault="00185BB6" w:rsidP="00185BB6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185BB6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</w:t>
      </w:r>
      <w:hyperlink r:id="rId8" w:history="1">
        <w:r w:rsidRPr="00185BB6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>http://www.fipi.ru/sborniki-OVZ</w:t>
        </w:r>
      </w:hyperlink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185BB6" w:rsidRPr="00185BB6" w:rsidRDefault="00185BB6" w:rsidP="00185BB6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185BB6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Что нужно знать  об итоговом сочинении </w:t>
      </w:r>
      <w:hyperlink r:id="rId9" w:history="1">
        <w:r w:rsidRPr="00185BB6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  <w:lang w:eastAsia="ru-RU"/>
          </w:rPr>
          <w:t>http://www.garant.ru/article/671241/</w:t>
        </w:r>
      </w:hyperlink>
    </w:p>
    <w:p w:rsidR="00185BB6" w:rsidRPr="00185BB6" w:rsidRDefault="00185BB6" w:rsidP="00185BB6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185BB6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  </w:t>
      </w:r>
    </w:p>
    <w:p w:rsidR="00185BB6" w:rsidRPr="00185BB6" w:rsidRDefault="00185BB6" w:rsidP="00185BB6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185BB6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 xml:space="preserve">Советы по психологической подготовке </w:t>
      </w:r>
      <w:proofErr w:type="gramStart"/>
      <w:r w:rsidRPr="00185BB6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обучающихся</w:t>
      </w:r>
      <w:proofErr w:type="gramEnd"/>
      <w:r w:rsidRPr="00185BB6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 xml:space="preserve"> к экзаменам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lastRenderedPageBreak/>
        <w:t> 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 </w:t>
      </w:r>
      <w:r w:rsidRPr="00185BB6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Уважаемые коллеги!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Время подготовки к государственной итоговой аттестации - важная составляющая успешной сдачи экзаменов. Предлагаем вашему вниманию материалы, которые помогут подготовиться вам и вашим учащимся.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0" w:history="1">
        <w:r w:rsidRPr="00185BB6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Памятка " Психологическая подготовка к экзамену"</w:t>
        </w:r>
      </w:hyperlink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1" w:history="1">
        <w:r w:rsidRPr="00185BB6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Брошюра для педагогов "Все решают только знания"</w:t>
        </w:r>
      </w:hyperlink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  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  <w:r w:rsidRPr="00185BB6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 Уважаемые коллеги!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 2015-2016 учебном году будет проводиться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 923 от 5 августа 2014 г. (зарегистрирован Минюстом России 15 августа 2014 г., регистрационный № 33604). Данное решение принято с целью реализации Послания Президента Российской Федерации Федеральному Собранию Российской Федерации от 12 декабря 2013 г. во исполнение пунктов «б» и «в» перечня поручений Президента Российской Федерации по итогам заседания Совета при Президенте Российской Федерации по культуре и искусству от 17 ноября 2013 г. № 2699.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На сайтах </w:t>
      </w:r>
      <w:proofErr w:type="spellStart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Минобрнауки</w:t>
      </w:r>
      <w:proofErr w:type="spellEnd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России и </w:t>
      </w:r>
      <w:proofErr w:type="spellStart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Рособрнадзора</w:t>
      </w:r>
      <w:proofErr w:type="spellEnd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размещены Критерии оценивания итогового сочинения для школ.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Они утверждены </w:t>
      </w:r>
      <w:proofErr w:type="spellStart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Рособрнадзором</w:t>
      </w:r>
      <w:proofErr w:type="spellEnd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после одобрения Совета по вопросам проведения итогового сочинения в выпускных классах.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2" w:history="1">
        <w:r w:rsidRPr="00185BB6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http://fipi.ru/ege-i-gve-11/itogovoe-sochinenie</w:t>
        </w:r>
      </w:hyperlink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 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 </w:t>
      </w: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Уважаемые коллеги!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Одной из основных целей единого государственного экзамена является получение эффективного инструмента оценки качества образования. Поэтому сегодня особым образом актуализируется оказание психологической, педагогической и информационной поддержки всех участников ЕГЭ: выпускников и их родителей, администрации образовательного учреждения и педагогов.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Психолого-педагогическая подготовка - комплексное понятие, включающее в себя: психологическую и педагогическую готовность (наличие знаний, умений и навыков по предмету) и личностную готовность (опыт, особенности личности, необходимые для  процедуры единого государственного экзамена) как выпускника, так и педагога.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Исходя из выше сказанного, можно выделить основные показатели психолого-педагогической готовности к единому государственному </w:t>
      </w:r>
      <w:proofErr w:type="gramStart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экзамену</w:t>
      </w:r>
      <w:proofErr w:type="gramEnd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как ученика, так и педагога: многообразие использования в деятельности форм, методов и приемов; способность решать сложные жизненные, учебные </w:t>
      </w: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lastRenderedPageBreak/>
        <w:t>задачи; степень целесообразности в действиях; оптимальность использования средств обучения и воспитания; способность работать по различным методическим схемам, и технологиям; степень овладения диагностическими умениями и навыками; степень овладения исследовательскими умениями и навыками; речевое развитие; организаторские и коммуникативные способности учащихся.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Каждому учителю важно помнить, что на результаты ЕГЭ влияют: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- уровень предметной подготовки;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- уровень тестовой культуры выпускника;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- психологическая готовность демонстрировать сформированные знания и умения в непривычной обстановке.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Задачами учителя в период подготовки к государственной итоговой аттестации являются: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- адекватная оценка в течение учебного периода знаний, умений и навыков учащихся в соответствии с их индивидуальными особенностями и возможностями;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- не «натаскивание» старшеклассников на выполнение заданий различного уровня сложности, а организация системной продуманной работы в течение всех лет обучения предмету (должна быть преемственность между учителями-предметниками и периодом обучения);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- индивидуальное выполнение самими учителями экзаменационных работ ЕГЭ по предмету с последующей фиксацией возникающих при выполнении заданий трудностей;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- проведение анализа собственных затруднений при выполнении тестовых заданий и наметить пути их устранения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- составление плана собственной работы по подготовке </w:t>
      </w:r>
      <w:proofErr w:type="spellStart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обучащихся</w:t>
      </w:r>
      <w:proofErr w:type="spellEnd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к итоговой аттестации в форме ЕГЭ в процессе преподавания предмета;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- проведение обсуждения этих планов со всеми заинтересованными лицами;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- проведение практикумов, целью которых является прогнозирование и предупреждение возможных ошибок учащихся, определение методических приемов по предупреждению этих ошибок (групповая работа учащихся);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- анализ результатов собственных, муниципальных, региональных, федеральных тестирований, пробного тестирования и др.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Психологи дают такие рекомендации педагогам, готовящим выпускников к государственной итоговой аттестации:</w:t>
      </w:r>
    </w:p>
    <w:p w:rsidR="00185BB6" w:rsidRPr="00185BB6" w:rsidRDefault="00185BB6" w:rsidP="00185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Сосредоточьтесь на позитивных сторонах и преимуществах учащегося с целью укрепления его самооценки.</w:t>
      </w:r>
    </w:p>
    <w:p w:rsidR="00185BB6" w:rsidRPr="00185BB6" w:rsidRDefault="00185BB6" w:rsidP="00185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Помогайте подростку поверить в себя и свои способности.</w:t>
      </w:r>
    </w:p>
    <w:p w:rsidR="00185BB6" w:rsidRPr="00185BB6" w:rsidRDefault="00185BB6" w:rsidP="00185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Помогайте избежать ошибок.</w:t>
      </w:r>
    </w:p>
    <w:p w:rsidR="00185BB6" w:rsidRPr="00185BB6" w:rsidRDefault="00185BB6" w:rsidP="00185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Поддерживайте выпускника при неудачах.</w:t>
      </w:r>
    </w:p>
    <w:p w:rsidR="00185BB6" w:rsidRPr="00185BB6" w:rsidRDefault="00185BB6" w:rsidP="00185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Подробно расскажите выпускникам, как будет проходить единый государственный экзамен, чтобы</w:t>
      </w:r>
      <w:r w:rsidRPr="00185BB6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proofErr w:type="spellStart"/>
      <w:r w:rsidRPr="00185BB6">
        <w:rPr>
          <w:rFonts w:ascii="Century Gothic" w:eastAsia="Times New Roman" w:hAnsi="Century Gothic" w:cs="Times New Roman"/>
          <w:i/>
          <w:iCs/>
          <w:color w:val="4D4D4D"/>
          <w:sz w:val="23"/>
          <w:lang w:eastAsia="ru-RU"/>
        </w:rPr>
        <w:t>каждый</w:t>
      </w: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из</w:t>
      </w:r>
      <w:proofErr w:type="spellEnd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них последовательно представлял всю процедуру экзамена.</w:t>
      </w:r>
    </w:p>
    <w:p w:rsidR="00185BB6" w:rsidRPr="00185BB6" w:rsidRDefault="00185BB6" w:rsidP="00185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lastRenderedPageBreak/>
        <w:t>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185BB6" w:rsidRPr="00185BB6" w:rsidRDefault="00185BB6" w:rsidP="00185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И только совместная работа всех участников государственной итоговой аттестации </w:t>
      </w:r>
      <w:proofErr w:type="gramStart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принесет положительные результаты</w:t>
      </w:r>
      <w:proofErr w:type="gramEnd"/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и Вам, и Вашим выпускникам.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185BB6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Успехов Вам, уважаемые педагоги!</w:t>
      </w:r>
    </w:p>
    <w:p w:rsidR="00185BB6" w:rsidRPr="00185BB6" w:rsidRDefault="00185BB6" w:rsidP="00185BB6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3" w:history="1">
        <w:r>
          <w:rPr>
            <w:rFonts w:ascii="Century Gothic" w:eastAsia="Times New Roman" w:hAnsi="Century Gothic" w:cs="Times New Roman"/>
            <w:noProof/>
            <w:color w:val="0D718B"/>
            <w:sz w:val="23"/>
            <w:szCs w:val="23"/>
            <w:lang w:eastAsia="ru-RU"/>
          </w:rPr>
          <w:drawing>
            <wp:inline distT="0" distB="0" distL="0" distR="0">
              <wp:extent cx="190500" cy="190500"/>
              <wp:effectExtent l="19050" t="0" r="0" b="0"/>
              <wp:docPr id="2" name="Рисунок 2" descr="docx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ocx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85BB6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Педагогические мифы о подготовке к ЕГЭ</w:t>
        </w:r>
      </w:hyperlink>
      <w:r w:rsidRPr="00185BB6">
        <w:rPr>
          <w:rFonts w:ascii="Century Gothic" w:eastAsia="Times New Roman" w:hAnsi="Century Gothic" w:cs="Times New Roman"/>
          <w:i/>
          <w:iCs/>
          <w:color w:val="4D4D4D"/>
          <w:sz w:val="23"/>
          <w:lang w:eastAsia="ru-RU"/>
        </w:rPr>
        <w:t> </w:t>
      </w:r>
    </w:p>
    <w:p w:rsidR="00DD5DB3" w:rsidRDefault="00DD5DB3"/>
    <w:sectPr w:rsidR="00DD5DB3" w:rsidSect="00DD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F05"/>
    <w:multiLevelType w:val="multilevel"/>
    <w:tmpl w:val="864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B6"/>
    <w:rsid w:val="00185BB6"/>
    <w:rsid w:val="00DD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B3"/>
  </w:style>
  <w:style w:type="paragraph" w:styleId="1">
    <w:name w:val="heading 1"/>
    <w:basedOn w:val="a"/>
    <w:link w:val="10"/>
    <w:uiPriority w:val="9"/>
    <w:qFormat/>
    <w:rsid w:val="00185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BB6"/>
    <w:rPr>
      <w:color w:val="0000FF"/>
      <w:u w:val="single"/>
    </w:rPr>
  </w:style>
  <w:style w:type="character" w:customStyle="1" w:styleId="wffiletext">
    <w:name w:val="wf_file_text"/>
    <w:basedOn w:val="a0"/>
    <w:rsid w:val="00185BB6"/>
  </w:style>
  <w:style w:type="character" w:styleId="a5">
    <w:name w:val="Strong"/>
    <w:basedOn w:val="a0"/>
    <w:uiPriority w:val="22"/>
    <w:qFormat/>
    <w:rsid w:val="00185BB6"/>
    <w:rPr>
      <w:b/>
      <w:bCs/>
    </w:rPr>
  </w:style>
  <w:style w:type="character" w:customStyle="1" w:styleId="apple-converted-space">
    <w:name w:val="apple-converted-space"/>
    <w:basedOn w:val="a0"/>
    <w:rsid w:val="00185BB6"/>
  </w:style>
  <w:style w:type="character" w:styleId="a6">
    <w:name w:val="Emphasis"/>
    <w:basedOn w:val="a0"/>
    <w:uiPriority w:val="20"/>
    <w:qFormat/>
    <w:rsid w:val="00185B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borniki-OVZ" TargetMode="External"/><Relationship Id="rId13" Type="http://schemas.openxmlformats.org/officeDocument/2006/relationships/hyperlink" Target="http://ege.midural.ru/images/Glossarii/%D0%9C%D0%B8%D1%84%D1%8B_%D0%BE_%D0%95%D0%93%D0%A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sborniki-OVZ" TargetMode="External"/><Relationship Id="rId12" Type="http://schemas.openxmlformats.org/officeDocument/2006/relationships/hyperlink" Target="http://fipi.ru/ege-i-gve-11/itogovoe-sochinen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ge.midural.ru/images/Organizatoram/_%D0%A0%D0%9E%D0%9D_%D0%9C%D0%A0_%D0%93%D0%98%D0%90_2016_.zip" TargetMode="External"/><Relationship Id="rId11" Type="http://schemas.openxmlformats.org/officeDocument/2006/relationships/hyperlink" Target="http://ege.midural.ru/images/Pedagogam/Dlya_pedagogov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ge.midural.ru/images/Organizatoram/%D1%80%D0%B5%D0%BA%D0%BE%D0%BC%D0%B5%D0%BD%D0%B4%D0%B0%D1%86%D0%B8%D0%B8_%D1%83%D1%87%D0%B8%D1%82%D0%B5%D0%BB%D1%8F%D0%BC_%D0%BF%D0%BE_%D0%BF%D0%BE%D0%B4%D0%B3%D0%BE%D1%82%D0%BE%D0%B2%D0%BA%D0%B5_%D0%B2%D1%8B%D0%BF%D1%83%D1%81%D0%BA%D0%BD%D0%B8%D0%BA%D0%BE%D0%B2_%D0%BA_%D0%95%D0%93%D0%A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article/671241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Котова ТА</cp:lastModifiedBy>
  <cp:revision>2</cp:revision>
  <dcterms:created xsi:type="dcterms:W3CDTF">2016-06-23T03:16:00Z</dcterms:created>
  <dcterms:modified xsi:type="dcterms:W3CDTF">2016-06-23T03:17:00Z</dcterms:modified>
</cp:coreProperties>
</file>